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amoha" w:hAnsi="tamoha" w:eastAsia="tamoha" w:cs="tamoha"/>
          <w:i w:val="0"/>
          <w:caps w:val="0"/>
          <w:color w:val="636363"/>
          <w:spacing w:val="0"/>
          <w:sz w:val="28"/>
          <w:szCs w:val="28"/>
        </w:rPr>
      </w:pPr>
      <w:r>
        <w:rPr>
          <w:rFonts w:ascii="方正楷体_GBK" w:hAnsi="方正楷体_GBK" w:eastAsia="方正楷体_GBK" w:cs="方正楷体_GBK"/>
          <w:i w:val="0"/>
          <w:caps w:val="0"/>
          <w:color w:val="636363"/>
          <w:spacing w:val="0"/>
          <w:sz w:val="28"/>
          <w:szCs w:val="28"/>
          <w:bdr w:val="none" w:color="auto" w:sz="0" w:space="0"/>
        </w:rPr>
        <w:t>——张国林校长在</w:t>
      </w:r>
      <w:r>
        <w:rPr>
          <w:rFonts w:hint="default" w:ascii="Times New Roman" w:hAnsi="Times New Roman" w:eastAsia="方正楷体_GBK" w:cs="Times New Roman"/>
          <w:i w:val="0"/>
          <w:caps w:val="0"/>
          <w:color w:val="636363"/>
          <w:spacing w:val="0"/>
          <w:sz w:val="28"/>
          <w:szCs w:val="28"/>
          <w:bdr w:val="none" w:color="auto" w:sz="0" w:space="0"/>
        </w:rPr>
        <w:t>2021</w:t>
      </w:r>
      <w:r>
        <w:rPr>
          <w:rFonts w:hint="default" w:ascii="方正楷体_GBK" w:hAnsi="方正楷体_GBK" w:eastAsia="方正楷体_GBK" w:cs="方正楷体_GBK"/>
          <w:i w:val="0"/>
          <w:caps w:val="0"/>
          <w:color w:val="636363"/>
          <w:spacing w:val="0"/>
          <w:sz w:val="28"/>
          <w:szCs w:val="28"/>
          <w:bdr w:val="none" w:color="auto" w:sz="0" w:space="0"/>
        </w:rPr>
        <w:t>年教师节表彰大会上的讲话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ascii="方正仿宋_GBK" w:hAnsi="方正仿宋_GBK" w:eastAsia="方正仿宋_GBK" w:cs="方正仿宋_GBK"/>
          <w:i w:val="0"/>
          <w:caps w:val="0"/>
          <w:color w:val="636363"/>
          <w:spacing w:val="0"/>
          <w:kern w:val="0"/>
          <w:sz w:val="28"/>
          <w:szCs w:val="28"/>
          <w:bdr w:val="none" w:color="auto" w:sz="0" w:space="0"/>
          <w:lang w:val="en-US" w:eastAsia="zh-CN" w:bidi="ar"/>
        </w:rPr>
        <w:t>中国的教师节今年</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岁了，正是风华正ï年富力强青年的年龄。但教师却是一个古老且一直受人尊敬、从δ消失且仍在不断发展的职业。如</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年比上一年全国高校教师增加了</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5.34%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这个职业不会大富大贵更不可能有权有势，但在人们心目中却始终有比较高或相当高的地λ。古有“天地君亲师”，老师被置于神坛，若干年以来和若干年前都是人们供奉的对象，都具有摆在重要而显眼λ置供人礼拜的地λ。现在，有专门法定节日给予老师以庄重歌颂赞扬。在这个专属于教育工作者的重大节日里，我代表学校理事会和学校党政领导班子，向学校全体教师问好，祝福全校老师和所有教育工作者教师节快乐！向所有为机电职业技术大学发展做出贡献的教职工表示衷心感谢和致以良好的节日祝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今天的教师节庆祝会我想表达三层意思。一是让我们所有教育工作者在自己的节日里表达对教师这个职业的敬意、谢意，自励自强；二是表彰我们同事中的优秀者，树立榜样向优秀学习；三是我想借这个机会与大家交流如何有力促进本科层次职业教育试点，以整改促试点。总的想法是表达强校必先强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教育强则国强，教师强则教育强。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习近平总书记多次在不同场合强调发展教育的重要意义，强调教育是党之大计、国之大计。我国著名的教育家、思想家蔡元培先生一百多年就指出，教育是国家兴旺之根本，是国家富强之根基。“教育强则国家强，教育兴则国家兴”。从历史和现实看，一个国家和地区的差别，实际上是教育上的差别。时代之间的差别也表现在教育程度上的差别。读书识字肯定与教育直接相关。辛亥革命前的晚清，清朝政府做过一次统计，当年全国粗通文墨的人，总数在</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多万。当时中国总人口</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万万，这样粗算下来，识字率</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左右，</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99%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的人都是文ä。而在</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年公布的全国第七次人口普查数据中，人口数量比晚清时多了</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亿，中国的识字率上升到了</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97.33%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，。文ä率只有</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2.67%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识字率是乾坤大挪移，国家的兴衰也是今非昔比。导致人与人之间的差别有很多原因，其中教育上的差别可能是最重要的差别。一个人由于受教育程度不同，可能具有完全不一样的世界。教育如此重要，而教师是教育的基础和根本。强国须靠优秀的教育，优秀的教育来自优秀的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今年的新生开学典礼，我致辞的题目是《技术强国有我</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技能报国有我》，希望鼓励学生要通过努力学好技术来强国，要通过在机电大学获得的技能来报国。学生在学校能否学得高超“文武艺”，“师高弟子强”，老师是第一关键。教育的强弱决定着国家的兴衰，而教师的强弱决定着教育的兴衰。教师的状况决定着学校的状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有一批好老师就是一所好学校。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教师是立教之本、兴教之源。一个人遇到好老师是人生的幸运，一个学校拥有好老师是学校的光荣。我在这里代表学校，向今年受表彰的</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λ优秀教师、</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λ优秀教育工作者、</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λ教育服务先进个人表示衷心祝贺和诚挚的谢意！他们是我们广大教师、教育工作者的代表，是我们的榜样，我们都应该虚心向他们学习。学习他们爱岗敬业，勤于奉献，为人师表，全力投入教育教学和服务于学生的工作态度；学习他们认真备课讲课，积极指导学生参加各种竞赛获奖的实干精神和教学本领、工作能力。他们的表现和成绩得到广大学生的肯定和同事们的认可。像机电职业技术大学这样一所刚刚起步的本科建设学校，特别需要多一些像今天受到表彰一样的优秀老师、优秀的教育工作者，多一些有精品课、金课、讲精彩一课的老师。如果学校拥有许多门优秀优质课程，就会“桃李不言，下自成蹊”。一般来讲，人们不会去购买街边发广告兜售的房地产。有一家叫阿那亚的房地产公司，从来不做广告。卖房子的公司，居然从不打广告。靠什ô把房子卖出去？阿那亚靠的是老用户的复购率，靠的是很高的转介绍率。主动报考就读职业学院，即使是报考就读职业本科，目前或今后一段时间肯定不是家长或学生的首选，我从这三年新生报到率和老生的流失率可以明确看出来。要让学生技术强国技能报国，首先得把学生留在学校求学。要吸引和留住学生，只能依靠老师</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依靠优秀的老师，得依靠老师优秀的课程，包括实验实训等技术实践课，得靠学生及其家长的转介绍率这种最有力的广告。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庆祝教师节，表彰优秀教师，也是探讨怎样做一个优秀教师的研究会，也是探讨如何加速学校发展的研究会。我们学校当务之急是加快由升本到建本的转型，建设合格的职业本科学校。下面我就与大家在新学期开学动员会基础上再谈一谈提高本科教学质量的整改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整改促本科试点，整改成就合格教师。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据了解有不少老师甚至中层干部至今还不知道我校目前首要工作的“整改”是什ô？在教师节庆祝会上有必要再次宣传动员。</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日教育部职成司下发“关于指导做好职业本科试点学校办学质量改进提升有关工作的通知”的书面文件，为了“进一步规范、引导和支持职业本科试点学校健康发展，稳步发展职业本科教育，在组织现场调研和专家评议的基础上，按照“一校一策”原则提出有关办学及专业建设改进提升意见”。文件要求“举办方和学校要切实把思想和行动统一到全国职教大会精神上来，把整改作为推动学校内涵建设和高质量发展的重要契机，要化压力为动力，落实…举办者责任，对反馈的问题要逐一研究，对能够尽快解决的问题要抓紧时间、立知立改，对需要系统推进的问题要细化工作举措、完成时限，全部问题于两年内整改完毕”。文件还附上了学校层面办学条件不足和保留的</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个本科专业逐条整改的意见，尤其是定量指标不达标的问题。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“整改”事关本科层次职业教育“试点”工作的成败，事关我校当前和δ来。暑假开了两次视频会专题研究整改，也发了两份校长关于整改的书面讲话，但并û有引起全校的关注和重视。</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后这两年注定是学校严肃严格的提高本科办学质量的整改年。这主要是现在有了整改图。学校虽然进了本科门，但还不是“本科人”。这有点像我们买房子，交了房拿到了房门钥匙也办了房产证，但这是清水房，需要经过装修才能入住。我们升本近两年后，教育部才出台《本科层次职业学校设置标准（试行）》和《本科层次职业教育专业设置管理办法（试行）》。教育部现在有了“装修设计图”，有了职业本科学校和专业设置的标准，所以催促学校尽快完成 “按图装修”。û有标准就û有差距和压力。提交升本材料时本来有个升本后的建设方案，但升本成功后上下几乎无人再提及上报的建设方案，似乎这个建设建设方案使命已经完成了，似乎意ζ着随着升本成功建设也就随之结束，学校û有感受到升本后的压力。为什ô升本后整改压力几乎消失了呢？我初步分析，有以下几点原因。第一，升本时的压力就û有传递到多数人具体工作中去。升本主要是理事会和学校管理层部分领导及相关职能部处负责人在æμ，许多人对升本后压力无感。第二，升本成功后缺乏对学校自身问题的研究。升本有想法，升本后û想法，或û有长远切实可行的本科建设方案。第三，我们需要投入的地方太多，不管是师资、经费等缺口太大，一时不知从何入手。坦率讲，我们学校能第一批升格为职业本科，并不是我们学校符合了职业本科学校的标准条件和办学水准，而是赶上了党的十八大以来我国职业教育着力“下一盘大棋打一场翻身仗”的好机遇，踏上了深化职业教育改革的关键步伐，踏上了中国经济高质量发展产业转型升级急需大批高技能人才的机遇。升本有全校老师的努力和积累，但也有很大的幸运成分。“三分打拼，七分天助”。升本时肯定会努力发掘、总结以往的办学成绩和办学基础，难免会尽量从积极方面书写申报材料，难免会尽量忽略现实中的工作和办学条件的不足，有可能误把升本的书面申报材料当成了学校的现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可以低调处理成功升本，但升本后转型和建设就应该有调了，就不能不着调了。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整改靠谁，靠全体教职工，靠全体老师。依照标准的整改既是建设合格职业本科学校的机会，也是造就合格本科学校师资的大好机会。昨天下午在学校专业建设专家委员会副主任白晨光教授建议和安排下，由教务处人事处召集召开了</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名青年教师代表庆祝第</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个教师节的座谈会，会议的主题就是谈青年教师的成长与本科学校的发展问题。会上有</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λ老师发言，我明显地感受到大家对学校升本后发展建设的期待和信心。我相信，借整改方案的落实，一定会全面促进本科试点各项工作，尤其是促进广大教师，落实立德树人根本任务，着力提升教师思想政治素质和师德素养，突出“双师型”教师个体成长和“双师型”教学团队建设相结合，推进教师的理念转变、知识更新、技能提升，提高教师参与研制专业人才培养方案的能力、组织参与结构化模块式教学的能力、运用现代教育理论和方法开展教育教学的能力。努力造就一支师德高尚、技艺精湛、专兼结合、充满活力的高素质“双师型”教师队伍，建设合格的职业本科学校。让我们坚持党的领导，抓好思想政治工作，实施好岗λ聘任制，以确保成功整改、成就合格教师队伍，十四五期间为建立高水平职业本科学校打下建设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祝大家教师节快乐！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谢谢！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楷体_GBK">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9F757BA"/>
    <w:rsid w:val="99F75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2024-07-18T15:53:00Z</dcterms:created>
  <dc:creator>wangwenyuan</dc:creator>
  <cp:lastModifiedBy>wangwenyuan</cp:lastModifiedBy>
  <dcterms:modified xsi:type="dcterms:W3CDTF">2024-07-18T15:54:01Z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