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amoha" w:hAnsi="tamoha" w:eastAsia="tamoha" w:cs="tamoha"/>
          <w:i w:val="0"/>
          <w:caps w:val="0"/>
          <w:color w:val="636363"/>
          <w:spacing w:val="0"/>
          <w:sz w:val="28"/>
          <w:szCs w:val="28"/>
        </w:rPr>
      </w:pPr>
      <w:r>
        <w:rPr>
          <w:rFonts w:ascii="仿宋_GB2312" w:hAnsi="tamoha" w:eastAsia="仿宋_GB2312" w:cs="仿宋_GB2312"/>
          <w:i w:val="0"/>
          <w:caps w:val="0"/>
          <w:color w:val="636363"/>
          <w:spacing w:val="0"/>
          <w:kern w:val="0"/>
          <w:sz w:val="32"/>
          <w:szCs w:val="32"/>
          <w:bdr w:val="none" w:color="auto" w:sz="0" w:space="0"/>
          <w:lang w:val="en-US" w:eastAsia="zh-CN" w:bidi="ar"/>
        </w:rPr>
        <w:t>重机电办〔</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2021</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21</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880"/>
        <w:jc w:val="left"/>
        <w:rPr>
          <w:rFonts w:hint="default" w:ascii="tamoha" w:hAnsi="tamoha" w:eastAsia="tamoha" w:cs="tamoha"/>
          <w:i w:val="0"/>
          <w:caps w:val="0"/>
          <w:color w:val="636363"/>
          <w:spacing w:val="0"/>
          <w:sz w:val="28"/>
          <w:szCs w:val="28"/>
        </w:rPr>
      </w:pPr>
      <w:r>
        <w:rPr>
          <w:rFonts w:ascii="方正小标宋_GBK" w:hAnsi="方正小标宋_GBK" w:eastAsia="方正小标宋_GBK" w:cs="方正小标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b/>
          <w:i w:val="0"/>
          <w:caps w:val="0"/>
          <w:color w:val="636363"/>
          <w:spacing w:val="0"/>
          <w:kern w:val="0"/>
          <w:sz w:val="28"/>
          <w:szCs w:val="28"/>
          <w:bdr w:val="none" w:color="auto" w:sz="0" w:space="0"/>
          <w:lang w:val="en-US" w:eastAsia="zh-CN" w:bidi="ar"/>
        </w:rPr>
        <w:t>关于印发张国林校长在本科专业整改方案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42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b/>
          <w:i w:val="0"/>
          <w:caps w:val="0"/>
          <w:color w:val="636363"/>
          <w:spacing w:val="0"/>
          <w:kern w:val="0"/>
          <w:sz w:val="28"/>
          <w:szCs w:val="28"/>
          <w:bdr w:val="none" w:color="auto" w:sz="0" w:space="0"/>
          <w:lang w:val="en-US" w:eastAsia="zh-CN" w:bidi="ar"/>
        </w:rPr>
        <w:t>陈述答辩视频会讲话的通知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ascii="仿宋" w:hAnsi="仿宋" w:eastAsia="仿宋" w:cs="仿宋"/>
          <w:i w:val="0"/>
          <w:caps w:val="0"/>
          <w:color w:val="636363"/>
          <w:spacing w:val="0"/>
          <w:kern w:val="0"/>
          <w:sz w:val="32"/>
          <w:szCs w:val="32"/>
          <w:bdr w:val="none" w:color="auto" w:sz="0" w:space="0"/>
          <w:lang w:val="en-US" w:eastAsia="zh-CN" w:bidi="ar"/>
        </w:rPr>
        <w:t>各学院、有关部门：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8月</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日上午</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时，张国林校长召开了</w:t>
      </w:r>
      <w:r>
        <w:rPr>
          <w:rFonts w:hint="default" w:ascii="仿宋" w:hAnsi="仿宋" w:eastAsia="仿宋" w:cs="仿宋"/>
          <w:i w:val="0"/>
          <w:caps w:val="0"/>
          <w:color w:val="636363"/>
          <w:spacing w:val="0"/>
          <w:kern w:val="0"/>
          <w:sz w:val="28"/>
          <w:szCs w:val="28"/>
          <w:bdr w:val="none" w:color="auto" w:sz="0" w:space="0"/>
          <w:lang w:val="en-US" w:eastAsia="zh-CN" w:bidi="ar"/>
        </w:rPr>
        <w:t>17</w:t>
      </w:r>
      <w:r>
        <w:rPr>
          <w:rFonts w:hint="default" w:ascii="仿宋" w:hAnsi="仿宋" w:eastAsia="仿宋" w:cs="仿宋"/>
          <w:i w:val="0"/>
          <w:caps w:val="0"/>
          <w:color w:val="636363"/>
          <w:spacing w:val="0"/>
          <w:kern w:val="0"/>
          <w:sz w:val="32"/>
          <w:szCs w:val="32"/>
          <w:bdr w:val="none" w:color="auto" w:sz="0" w:space="0"/>
          <w:lang w:val="en-US" w:eastAsia="zh-CN" w:bidi="ar"/>
        </w:rPr>
        <w:t>个本科专业整改方案陈述答辩视频会议，做了《加强专业整改，提高本科专业设置质量》的讲话。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讲话从两个方面提出如何进行整改，一是本次专业整改主要是专业设置的整改；二是把校企合作产教融合作为本科试点专业整改的重要抓手，同时提出关于整改方案共同性问题的修改意见。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为方便各学院、各专业及有关职能部门负责人学习和领会此次视频会议精神，扎实做好此次整改工作，现将讲话整理予以印发。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00" w:right="-20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420" w:firstLine="3840"/>
        <w:jc w:val="right"/>
        <w:rPr>
          <w:rFonts w:hint="default"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32"/>
          <w:szCs w:val="32"/>
          <w:bdr w:val="none" w:color="auto" w:sz="0" w:space="0"/>
          <w:lang w:val="en-US" w:eastAsia="zh-CN" w:bidi="ar"/>
        </w:rPr>
        <w:t>重庆机电职业技术大学党政办公室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20" w:right="-420" w:firstLine="640"/>
        <w:jc w:val="righ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2021年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8</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righ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i w:val="0"/>
          <w:caps w:val="0"/>
          <w:color w:val="636363"/>
          <w:spacing w:val="0"/>
          <w:kern w:val="0"/>
          <w:sz w:val="44"/>
          <w:szCs w:val="44"/>
          <w:bdr w:val="none" w:color="auto" w:sz="0" w:space="0"/>
          <w:lang w:val="en-US" w:eastAsia="zh-CN" w:bidi="ar"/>
        </w:rPr>
        <w:t>加强专业整改，提高本科专业设置质量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--本科专业整改方案陈述答辩视频会讲话（会后整理）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校长</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张国林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2021年</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月</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42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各λ老师：上午好！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上次整改视频会结束时交代了</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件事：学好专业设置和整改文件、研究透整改问题、写好整改方案、搞一次整改陈述答辩。今天召开整改方案陈述答辩视频会，就是要通过专业整改方案撰稿人（执笔人）或学院负责人的陈述检查是否学好了文件、研究透问题，写好了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上次视频会我给大家说过，这次整改是面向δ来的整改，要通过整改这个机会，用尽一切办法给教育部、市教委、给社会传达一个强烈的信号，即让人家相信我们的δ来。大家相信学校的δ来，这样才能最大限度地撬动资金资源，加大δ来预期成为现实的概率。所以我们提交的整改方案，关系着我们的δ来，一定得尽心尽力写好，千万不能马虎应付，否则，前途会断送在我们自己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今天的会议还请了学院党组织负责人参加，目的是动员大家关心本科专业设置与试点，了解专业、懂专业。办专业这是学校存在的前提和理由，也是我们能在学校工作的理由。由于专业是大学教育活动中的基本单λ，是一个包含学生、教师、仪器设备等人和物组成的一个基本教育教学单λ，即由学生专业教学班级、教师专业教研室、为专业教学所提供和准备的仪器等相关设备共同构成的一个实体组织，所以我们这次的本科专业整改方案，就以本科专业为单λ撰写和提交。教育部职成司也要求</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个本科专业逐一分别提交整改方案，以后分专业进行核查。今天的会议主要是</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个本科专业分别汇报陈述三个问题：一是有什ô问题需要整改？二是准备如何整改？三是你的整改方案有什ô特点</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借这个机会，我再谈两点看法和一些具体修改意见。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ascii="方正黑体_GBK" w:hAnsi="方正黑体_GBK" w:eastAsia="方正黑体_GBK" w:cs="方正黑体_GBK"/>
          <w:i w:val="0"/>
          <w:caps w:val="0"/>
          <w:color w:val="636363"/>
          <w:spacing w:val="0"/>
          <w:kern w:val="0"/>
          <w:sz w:val="32"/>
          <w:szCs w:val="32"/>
          <w:bdr w:val="none" w:color="auto" w:sz="0" w:space="0"/>
          <w:lang w:val="en-US" w:eastAsia="zh-CN" w:bidi="ar"/>
        </w:rPr>
        <w:t>一、本次专业整改主要是专业设置的整改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我们这次本科专业方面的整改，主要是专业设置的整改，是对本科专业申报时，缺乏严谨周密的调研论证工作的弥补。在《本科层次职业教育专业设置管理办法（试行）》中，</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第九条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就明确要求</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设置本科层次职业教育专业需有详实的专业设置可行性报告。可行性报告包括对行业企业的调研分析；对自身办学基础和专业特色的分析；对培养目标和培养规格的论证，有保障开设本专业可持续发展的规划和相关制度等”。尽管申报审批本科专业时还û有颁布《本科层次职业教育专业设置管理办法（试行）》，但“先上船后买票”、“先结婚后恋爱”也是很必要的，也是后来必须应该付出的“回ˉ”的代价。但愿此次“回ˉ”能够顺利成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专业设置主要考虑两点：一是这个专业有设置的需要，二是能满足设置条件。要搞清楚这两点，就必须认真学习今年教育部发布的</w:t>
      </w:r>
      <w:bookmarkStart w:id="0" w:name="_Hlk78704467"/>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《本科层次职业教育专业设置管理办法（试行）》</w:t>
      </w:r>
      <w:bookmarkEnd w:id="0"/>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办法的第四条、第八条都是讲专业设置的“需要”，如</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第八条说，“</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高校设置本科层次职业教育专业应紧紧Χ绕国家和区域经济社会产业发展重点领域，服务产业新业态、新模式，对接新职业，聚焦确需长学制培养的相关专业”。“需要”决定着专业的新设存亡以及名称的改变。所以在整改方案中，如果能对设置“需要”有比较充分的体现，即说明即使设置“条件”差一点，但有设置该专业的必要性和紧迫性，可能会淡化对“条件”的苛刻要求。从这个意义上讲也应该去把“设置需要”研究清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第九至第十四条讲的就是专业设置的“条件”，这些都是“明示”的条件要求。专业设置，“</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原则上应符合第九条至第十四条规定的条件和要求”。</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我们这次本科专业的整改，主要针对设置要求的“条件和要求”进行整改。所以必须清楚教育部职成司反馈意见中提到的“</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19</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个可量化指标”，便于整改方案中准确予以表述，也才能清楚下一步的整改措施。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这</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项可量化指标，第十条有</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项，第十一条有</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项，第十二条有</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项，第十三条有</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项，第十四条有</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我的理解不知是否与教育部职成司的理解是否一致，可能会有出入，但估计不会差太远。下面我把它们都一一列出来，便于大家参考对照。经过仔细对照，我校专业设置在可量化指标项目差得比较多的在第十条，即专业设置所需的教师队伍条件。我校师资是个大弱项，这是整改最需要重视和当前以及今后花大力气整改解决的大问题。当然，除了量化指标，我们还要关注那些定性的描述，如第十三条第二款，“能够面向区域、行业企业开展科研、技术研发、社会服务等项目，并产生明显的经济和社会效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说是专业设置整改，要求是提高设置质量，要“上船”才能开船前进，不要在船下看船，要“结婚”就得自己走进婚姻殿堂，不要只是参加别人的婚礼。专业设置符合条件，本身就是专业建设的第一步，是高质量发展的重要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ascii="方正楷体_GBK" w:hAnsi="方正楷体_GBK" w:eastAsia="方正楷体_GBK" w:cs="方正楷体_GBK"/>
          <w:i w:val="0"/>
          <w:caps w:val="0"/>
          <w:color w:val="636363"/>
          <w:spacing w:val="0"/>
          <w:kern w:val="0"/>
          <w:sz w:val="32"/>
          <w:szCs w:val="32"/>
          <w:bdr w:val="none" w:color="auto" w:sz="0" w:space="0"/>
          <w:lang w:val="en-US" w:eastAsia="zh-CN" w:bidi="ar"/>
        </w:rPr>
        <w:t>附：第十条</w:t>
      </w:r>
      <w:r>
        <w:rPr>
          <w:rFonts w:hint="default" w:ascii="方正楷体_GBK" w:hAnsi="方正楷体_GBK" w:eastAsia="方正楷体_GBK" w:cs="方正楷体_GBK"/>
          <w:i w:val="0"/>
          <w:caps w:val="0"/>
          <w:color w:val="636363"/>
          <w:spacing w:val="0"/>
          <w:kern w:val="0"/>
          <w:sz w:val="28"/>
          <w:szCs w:val="28"/>
          <w:bdr w:val="none" w:color="auto" w:sz="0" w:space="0"/>
          <w:lang w:val="en-US" w:eastAsia="zh-CN" w:bidi="ar"/>
        </w:rPr>
        <w:t>--</w:t>
      </w:r>
      <w:r>
        <w:rPr>
          <w:rFonts w:hint="default" w:ascii="方正楷体_GBK" w:hAnsi="方正楷体_GBK" w:eastAsia="方正楷体_GBK" w:cs="方正楷体_GBK"/>
          <w:i w:val="0"/>
          <w:caps w:val="0"/>
          <w:color w:val="636363"/>
          <w:spacing w:val="0"/>
          <w:kern w:val="0"/>
          <w:sz w:val="32"/>
          <w:szCs w:val="32"/>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第十条设置本科层次职业教育专业须有完成专业人才培养所必需的教师队伍，具体应具备以下条件：（共</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（一）全校师生比不低于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1:18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；所依托专业专任教师与该专业全日制在校生人数之比不低于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1:20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，高级职称专任教师比例不低于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，具有研究生学λ专任教师比例不低于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，具有博士研究生学λ专任教师比例不低于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（二）本专业的专任教师中，“双师型”教师占比不低于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来自行业企业一线的兼职教师占一定比例并有实质性专业教学任务，其所承担的专业课教学任务授课课时一般不少于专业课总课时的</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（三）有省级及以上教育行政部门等认定的高水平教师教学（科研）创新团队，或省级及以上教学名师、高层次人才担任专业带头人，或专业教师获省级及以上教学领域有关奖励两项以上。（</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第十一条设置本科层次职业教育专业需有科学规范的专业人才培养方案，具体应具备以下条件：（共</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培养方案应校企共同制订，需遵循技术技能人才成长规律，突出知识与技能的高层次，使毕业生能够从事科技成果、实验成果转化，生产加工中高端产品、提供中高端服务，能够解决较复杂问题和进行较复杂操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（二）实践教学课时占总课时的比例不低于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，实验实训项目（任务）开出率达到</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100%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第十二条设置本科层次职业教育专业需具备开办专业所必需的合作企业、经费、校舍、仪器设备、实习实训场所等办学条件：（共</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（一）应与相关领域产教融合型企业等优质企业建立稳定合作关系。积极探索现代学徒制等培养模式，促进学历证书与职业技能等级证书互通衔接。（</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（二）有稳定的、可持续使用的专业建设经费并逐年增长。专业生均教学科研仪器设备值原则上不低于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万元。（</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（三）有稳定的、数量够用的实训基地，满足师生实习实训（培训）需求。（</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第十三条设置本科层次职业教育专业需在技术研发与社会服务上有较好的工作基础，具体应具备以下条件：（共</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（一）有省级及以上技术研发推广平台（工程研究中心、协同创新中心、重点实验室或技术技能大师工作室、实验实训基地等）。（</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w:t>
      </w:r>
      <w:bookmarkStart w:id="1" w:name="_Hlk78710415"/>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能够面向区域、行业企业开展科研、技术研发、社会服务等项目，并产生明显的经济和社会效益。</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（三）专业面向行业企业和社会开展职业培训人次ÿ年不少于本专业在校生人数的</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倍。（</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第十四条设置本科层次职业教育专业需有较高的培养质量基础和良好的社会声誉，具体应具备以下条件：（共</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（一）所依托专业招生计划完成率一般不低于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90%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，新生报到率一般不低于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85%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（二）所依托专业应届毕业生就业率不低于本省域内高校平均水平。（</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二、把校企合作、产教融合作为本科试点专业整改的重要抓手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截止</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月</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日，全国本科层次职业大学已经</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所，其中民办</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所，公办</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所。全国本科院校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1200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多所，但职业本科才</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28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所。本科学校不少，职业本科学校还很少。这ô少还能另起一类，这就要深刻领会职教二十条和全国职教大会的精神才能理解。举办职业本科一定要明确其职业属性和本科属性，一是类型教育的属性，二是教育水平的属性。即职业本科要为产业升级、经济转型培养高端或高级技术技能专门人才。从学校教育教学角度看，职业本科专业是职业教育课程的一种高端组织形式；从经济社会的角度看，职业本科专业是职业大学根据经济社会分工需要而分开的学业门类。由此看出，在高等职业教育范畴内的“职业本科专业”设置中必须体现两个要素，即“经济社会分工”和“学业门类分类”。在高等职业教育中职业本科专业就是为职业大学承担高级技术技能人才培养职能而设置的，是为满足经济社会从事某种职业必须接受的高端技术技能训练，是职业教育专业体系和经济社会职业需求的交叉，是经济社会分工、学科学业知识一体的组织形态。经济社会分工是专业设置、发展的基础。怎ô快捷获得、实现这种组织形态？通过校企合作产教融合在专业设置中就可快捷体现。所以，我们在整改方案中，更要坚定校企合作产教融合在专业设置中的标志性、灵魂性作用，把校企合作产教融合作为“由升本向建本的转型、全面进行本科学校建设”的抓手，作为职业本科学校建设实质性、关键性的一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三、关于整改方案共同性问题的修改意见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1.关于标题和附件。各本科试点专业整改方案标题需统一，即</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个专业的整改方案都保持一致的格式，副标题都是—与某某企业合建专业。关于附件，如果有过硬的鲜活的有序的材料需要佐证，那当然有附件更好，这样显得更完整详实。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关于基本情况简介。整改方案一开始直接就写基本情况简介，前面统一不写序言或其它段落了。这部分不涉及整改，一定要写出所办本科专业已有的良好基础和已经形成的专业优势，短一点但层次分明优势突出，一开始就争取给人留下好印象。基本情况已经介绍的数据和事实最好不要紧接着马上重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3.关于存在问题。一定要点出教育部职成司书面反馈的意见，当然也要有“自查”的表述。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关于整改思·和举措。整改思·要明确清楚，·是看得见的。怎ô整改明明白白，有ÿ一个（类）问题整改负责人，有明确的整改阶段，有整改时限。要让人相信你是动真格的要整改，而不是敷衍。如师资引进，什ô时候引进、引进多少、到哪里引、是企业的还是学校的、他们是些什ô人、若是内培，培养谁、送企业还是送去读博士、谁负责、如教师教学（科研）创新团队的培养，这个团队多少人及带头人是谁、团队的主攻方向是什ô、如此等等，让人感觉实际又实在，容易整改容易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5.关于整改目标及效果。这部分要展望整改后的美好δ来，给读者以信心。一是坚信你的整改目标明确效果会好，二是两年的整改为以后的专业建设打下了更加坚实的基础。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总之，这个整改方案不是执笔人一个人的事，要开会研究讨论，有人动笔有人动脑有人动口，群策群力，争取初稿合格。最后，希望大家以高度负责的态度，提交一份优秀的整改方案。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42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0"/>
        <w:jc w:val="right"/>
        <w:rPr>
          <w:rFonts w:hint="default" w:ascii="tamoha" w:hAnsi="tamoha" w:eastAsia="tamoha" w:cs="tamoha"/>
          <w:i w:val="0"/>
          <w:caps w:val="0"/>
          <w:color w:val="636363"/>
          <w:spacing w:val="0"/>
          <w:sz w:val="28"/>
          <w:szCs w:val="28"/>
        </w:rPr>
      </w:pPr>
      <w:r>
        <w:rPr>
          <w:rFonts w:hint="default" w:ascii="仿宋_GB2312" w:hAnsi="tamoha" w:eastAsia="仿宋_GB2312" w:cs="仿宋_GB2312"/>
          <w:i w:val="0"/>
          <w:caps w:val="0"/>
          <w:color w:val="636363"/>
          <w:spacing w:val="0"/>
          <w:kern w:val="0"/>
          <w:sz w:val="28"/>
          <w:szCs w:val="28"/>
          <w:bdr w:val="none" w:color="auto" w:sz="0" w:space="0"/>
          <w:lang w:val="en-US" w:eastAsia="zh-CN" w:bidi="ar"/>
        </w:rPr>
        <w:t>重庆机电职业技术大学办公室             </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2021年</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8</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月</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2</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日</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印发</w:t>
      </w:r>
      <w:r>
        <w:rPr>
          <w:rFonts w:hint="default" w:ascii="tamoha" w:hAnsi="tamoha" w:eastAsia="tamoha" w:cs="tamoha"/>
          <w:i w:val="0"/>
          <w:caps w:val="0"/>
          <w:color w:val="636363"/>
          <w:spacing w:val="0"/>
          <w:kern w:val="0"/>
          <w:sz w:val="28"/>
          <w:szCs w:val="28"/>
          <w:bdr w:val="none" w:color="auto" w:sz="0" w:space="0"/>
          <w:lang w:val="en-US" w:eastAsia="zh-CN" w:bidi="ar"/>
        </w:rPr>
        <w:t> </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_GBK">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楷体_GBK">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E8805"/>
    <w:rsid w:val="1F3E8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2024-07-18T15:51:00Z</dcterms:created>
  <dc:creator>wangwenyuan</dc:creator>
  <cp:lastModifiedBy>wangwenyuan</cp:lastModifiedBy>
  <dcterms:modified xsi:type="dcterms:W3CDTF">2024-07-18T15:51:29Z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