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amoha" w:hAnsi="tamoha" w:eastAsia="tamoha" w:cs="tamoha"/>
          <w:i w:val="0"/>
          <w:caps w:val="0"/>
          <w:color w:val="636363"/>
          <w:spacing w:val="0"/>
          <w:sz w:val="28"/>
          <w:szCs w:val="28"/>
        </w:rPr>
      </w:pPr>
      <w:r>
        <w:rPr>
          <w:rFonts w:ascii="方正楷体_GBK" w:hAnsi="方正楷体_GBK" w:eastAsia="方正楷体_GBK" w:cs="方正楷体_GBK"/>
          <w:i w:val="0"/>
          <w:caps w:val="0"/>
          <w:color w:val="636363"/>
          <w:spacing w:val="0"/>
          <w:sz w:val="28"/>
          <w:szCs w:val="28"/>
          <w:bdr w:val="none" w:color="auto" w:sz="0" w:space="0"/>
        </w:rPr>
        <w:t>——张光彩副校长在</w:t>
      </w:r>
      <w:r>
        <w:rPr>
          <w:rFonts w:hint="default" w:ascii="Times New Roman" w:hAnsi="Times New Roman" w:eastAsia="方正楷体_GBK" w:cs="Times New Roman"/>
          <w:i w:val="0"/>
          <w:caps w:val="0"/>
          <w:color w:val="636363"/>
          <w:spacing w:val="0"/>
          <w:sz w:val="28"/>
          <w:szCs w:val="28"/>
          <w:bdr w:val="none" w:color="auto" w:sz="0" w:space="0"/>
        </w:rPr>
        <w:t>2021</w:t>
      </w:r>
      <w:r>
        <w:rPr>
          <w:rFonts w:hint="default" w:ascii="方正楷体_GBK" w:hAnsi="方正楷体_GBK" w:eastAsia="方正楷体_GBK" w:cs="方正楷体_GBK"/>
          <w:i w:val="0"/>
          <w:caps w:val="0"/>
          <w:color w:val="636363"/>
          <w:spacing w:val="0"/>
          <w:sz w:val="28"/>
          <w:szCs w:val="28"/>
          <w:bdr w:val="none" w:color="auto" w:sz="0" w:space="0"/>
        </w:rPr>
        <w:t>年学生工作总结暨表彰大会上的讲话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imes New Roman" w:hAnsi="Times New Roman" w:eastAsia="方正楷体_GBK" w:cs="Times New Roman"/>
          <w:i w:val="0"/>
          <w:caps w:val="0"/>
          <w:color w:val="636363"/>
          <w:spacing w:val="0"/>
          <w:sz w:val="28"/>
          <w:szCs w:val="28"/>
          <w:bdr w:val="none" w:color="auto" w:sz="0" w:space="0"/>
        </w:rPr>
        <w:t>2021</w:t>
      </w:r>
      <w:r>
        <w:rPr>
          <w:rFonts w:hint="default" w:ascii="方正楷体_GBK" w:hAnsi="方正楷体_GBK" w:eastAsia="方正楷体_GBK" w:cs="方正楷体_GBK"/>
          <w:i w:val="0"/>
          <w:caps w:val="0"/>
          <w:color w:val="636363"/>
          <w:spacing w:val="0"/>
          <w:sz w:val="28"/>
          <w:szCs w:val="28"/>
          <w:bdr w:val="none" w:color="auto" w:sz="0" w:space="0"/>
        </w:rPr>
        <w:t>年</w:t>
      </w:r>
      <w:r>
        <w:rPr>
          <w:rFonts w:hint="default" w:ascii="Times New Roman" w:hAnsi="Times New Roman" w:eastAsia="方正楷体_GBK" w:cs="Times New Roman"/>
          <w:i w:val="0"/>
          <w:caps w:val="0"/>
          <w:color w:val="636363"/>
          <w:spacing w:val="0"/>
          <w:sz w:val="28"/>
          <w:szCs w:val="28"/>
          <w:bdr w:val="none" w:color="auto" w:sz="0" w:space="0"/>
        </w:rPr>
        <w:t>12</w:t>
      </w:r>
      <w:r>
        <w:rPr>
          <w:rFonts w:hint="default" w:ascii="方正楷体_GBK" w:hAnsi="方正楷体_GBK" w:eastAsia="方正楷体_GBK" w:cs="方正楷体_GBK"/>
          <w:i w:val="0"/>
          <w:caps w:val="0"/>
          <w:color w:val="636363"/>
          <w:spacing w:val="0"/>
          <w:sz w:val="28"/>
          <w:szCs w:val="28"/>
          <w:bdr w:val="none" w:color="auto" w:sz="0" w:space="0"/>
        </w:rPr>
        <w:t>月</w:t>
      </w:r>
      <w:r>
        <w:rPr>
          <w:rFonts w:hint="default" w:ascii="Times New Roman" w:hAnsi="Times New Roman" w:eastAsia="方正楷体_GBK" w:cs="Times New Roman"/>
          <w:i w:val="0"/>
          <w:caps w:val="0"/>
          <w:color w:val="636363"/>
          <w:spacing w:val="0"/>
          <w:sz w:val="28"/>
          <w:szCs w:val="28"/>
          <w:bdr w:val="none" w:color="auto" w:sz="0" w:space="0"/>
        </w:rPr>
        <w:t>24</w:t>
      </w:r>
      <w:r>
        <w:rPr>
          <w:rFonts w:hint="default" w:ascii="方正楷体_GBK" w:hAnsi="方正楷体_GBK" w:eastAsia="方正楷体_GBK" w:cs="方正楷体_GBK"/>
          <w:i w:val="0"/>
          <w:caps w:val="0"/>
          <w:color w:val="636363"/>
          <w:spacing w:val="0"/>
          <w:sz w:val="28"/>
          <w:szCs w:val="28"/>
          <w:bdr w:val="none" w:color="auto" w:sz="0" w:space="0"/>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我校学生工作以立德树人为根本要求，以本科职业教育试点为契机，紧紧Χ绕学校“促试点、推线上、抓防控”年度工作要点，依靠组织抓建设，盯着效果抓落实，经过全体学工人员的共同努力，在思想教育、学生管理、学风建设、社会实践、就业创业、社团服务、校园文化等工作中均取得了新进展、新成就、新突破。现将一年来的主要工作从三个方面加以总结与汇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一、促试点，狠抓“三大”工程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（一）价值引领工程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是夯实理想信念根基，扎实开展党史学习教育。一年来，我们将党史学习教育与学生活动有机结合，先后组织开展了“认识技术、圆梦机电”“技术强国有我·技能报国有我”“图书馆前开讲啦！”等系列主题学习教育活动，累计开展</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期，共计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余人次参加活动。与此同时，各学院通过班级主题班会、主题团会、报告宣讲、故事分享、知识竞赛等多种形式，积极开展党史学习教育活动。电气与电子工程学院杨涛涛、信息工程学院王思惠、建筑工程学院陈青等三名同学代表学校参加重庆市党史知识竞赛，荣获学生组团体一等奖；辅导员陈阳、何燕、张星玉等荣获教师组团体二等奖的好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二是夯实爱党爱国根基，扎实开展爱国主义教育。组织团学干部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189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人参观邱少云烈士纪念馆、组织全校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17000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余名学生观看庆祝建党一百周年大会、组织开展庆祝建党</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周年“七一”升旗仪式以及“学四史”大学生知识竞赛、短视频大赛、歌咏比赛等大型活动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三是夯实网络思政载体，扎实开展线上宣传教育。先后开展学生法制教育、防范金融诈骗教育</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场次，受教育学生</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万余人次；开展 “学宪法、讲宪法”活动，并获得市级演讲比赛三等奖和优秀组织奖。今年新生入学，校团委运营“机电小团团”微信和抖音新y体平台，共发布作品（</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）篇，浏览量</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8700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余人次，抖音短视频今年发布</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篇作品，点赞量</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11728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人次，观看量达</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万人次，覆盖率达</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90%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以上，从而让“青年之声”和谐电波影响ÿ一名机电学子，守住了主阵地，传播了正能量，受到了团市委的好评。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（二）第二课堂建设工程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一是搭建文艺展示平台，营造文化氛Χ。成功举办第十七届挑战杯校内选拔赛、第十五届校园歌手大赛、第二届金话筒主持人大赛“等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余场活动，参加重庆市第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届挑战杯荣获市赛一等奖</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个，二等奖</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个，三等奖</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年学生在在市级及以上竞赛中共获</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141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项奖项，有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705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人次获奖。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二是践行实践历练平台，助力乡村振兴。引导全校青年学子利用暑期积极参加社会实践活动，组建</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支“三下乡”社会实践团队助力乡村振兴，组织 </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7437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人参加了暑期实践活动， </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5242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名同学提交社会实践心得体会；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三是打造志愿服务平台，服务社会发展。一年来，共开展志愿服务活动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余场次，志愿服务类型涉及无偿献血、疾病预防、青年劳动、关爱留守儿童以及大型活动服务保障等方面，志愿者注册人数达</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3687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（三）学工队伍建设工程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一是强化业务培训，提升队伍职业化水平。全年召开学生思想政治工作研讨会、学生工作例会共计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次，组织</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人次参加教育部和重庆市教委组织线上辅导员业务能力、资助工作、心理健康、上岗培训等专题培训，有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人取得优异成绩，辅导员冉锦获得重庆市</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强“优秀辅导员”称号，为我校建校以来辅导员队伍获得的最高荣誉，为学校增了光，为机电添了彩。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二是组织交流学习，提升队伍规范化水平。今年先后组织学工队伍到西南政法大学、重庆商务职业学院、重庆城市管理学院调研学习；与到我校调研学习的重庆航天职业技术学院、重庆应用技术职业学院相互交流学习，有力提升了我校学工队伍业务能力与规范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三是开展专项比赛，提升队伍专业化水平。举办第十一届辅导员素质能力比赛、第三届辅导员网文写作大赛、就业创业课程讲课比赛，要求辅导员ÿ年至少发表一篇工作文章。全年共发表论文</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篇，申请课题立项</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项，其中一项课题为重庆市“三全育人”十大精品项目课题。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二、抓学风，做好“三个”结合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（一）坚持活动开展与学风建设相结合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一是开展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“铸魂·塑行”育人活动。全年共开展晨读打卡活动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期，共计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3869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人参加，</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2759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人完成打卡；晨读完成率为</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，比去年同期上升近十个百分点</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开展晨跑打卡活动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期，共计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2754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人参与，</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1447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人完成打卡；晨跑完成率为</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52.5%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，比去年同期上升</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个百分点；所有参与晨读学习的队伍中本科生占</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88.2%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；所有参加晨跑的学生中本科生占</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67.8%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这些活动的开展对引导学生养成良好的学习习和生活习惯起到了较好的引领和示范作用，也较好落实了国林校长倡导的当代大学生要结交“图书馆和运动场”二个朋友，以及大学有睡觉的地方，但大学绝不是睡觉的地方的教育哲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是开展首届学工干部“说学风”活动。举办了首届学工干部“说学风”活动，通过辅导员说学风、学院说学风、总支书记说学风等活动，分享学风建设经验，促进学风建设水平。各学院把学风建设与“班风、职业素养”有机结合起来，开展学风教育活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1127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班次；引导学生把“专业当作学业”、辅导员把“工作当作事业”的学习态度和工作状态。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是开展日常教育督查活动。本着重心下移的管理理念，各总支书记、学办主任和值班辅导员ÿ天跟班查勤，学生处ÿ周检查并排名通报。总支书记田峰、何英等同志坚持跟班督查，为广大辅导员老师起到了表率作用。本年度共通报学生迟到早退</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次，共计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879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人次；通过通报与评比，学生迟到率与去年同期下降近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个百分点，出现了到图书馆排队的多了、学习的多了，讲话的少了、玩手机的少了等“二多二少”现象，职业本科大学的学风正越来越浓。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（二）坚持榜样树立与学风建设相结合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一是抓国防教育，树新生榜样促学风。表彰在军训中表现优异的学员</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158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人、先进连队</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个、先进单λ</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二是抓学业教育，树学习标杆促学风。全年评选国家奖学金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人、国家励志奖学金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459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人、学校奖学金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2563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人、专升本升学奖学金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1277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人、新生入学奖学金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三是抓常规教育，树行为模范促学风。本年度评选表彰了市级先进班集体</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个，先进个人</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67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名、市级优秀毕业生</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名</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优秀大学毕业生</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90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人；五四红旗团总支</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个，五四红旗团支部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1351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名学生成为入党积极分子。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（三）坚持双创竞赛与学风建设结合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一是优化升级双创服务。牵头组织参加重庆市第八届创新创业大赛、第七届“高新杯”众创大赛，累计报名项目</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842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个项目获大学生创业扶持计划，</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个项目成功入选市级立项。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二是就业率再创新高。今年我校毕业生毕业去向落实率为</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99.28%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，名列全市高校第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名；大学生创业孵化园被评定为“优秀”等级；全年共举办线上、线下招聘会</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215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场，发布各类招聘信息</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6500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余条，提供有效岗λ数</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25766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11.17%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毕业生进入成都铁·局、红宇精工、中船重工等国有兵工企业；余建波同学获成渝双城经济圈模拟求职大赛二等奖，辅导员刘洋、田小娟参加重庆市“高质量就业”主题演讲，获本科最佳人气奖。全年毕业生应征入伍率λ列全市第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三是精准开展资助育人服务。全面落实奖、助、贷、勤、免、补资助政策，全年发放各类奖、助学金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1957.93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万元，退役军人补偿</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3869.6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万元，新疆专项助学金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三、抓安全，紧扣“三个”重点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一是紧扣疫情防控工作重点。认真编制方案，周密组织学生返校、新生报到和军训工作，组织外省返校学生核酸检测</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3789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份，学生“两码一证明”</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17167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日当天与全校各部门高效、有序组织完成了</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17000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余人的核酸检测；学生疫苗接种</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26151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人次，接种率超过</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98%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二是紧扣反诈防骗工作重点。实施警校联动，组织民警进校宣传、辅导员专题宣传，线上教育覆盖全校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17000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余名学生，网络诈骗发案率与校园网贷率较去年明显下降；在“两节三夜”“五一”“十一”等重点时段，安全教育不放松。加大学生网</w:t>
      </w:r>
      <w:bookmarkStart w:id="0" w:name="_GoBack"/>
      <w:bookmarkEnd w:id="0"/>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络舆情教育与管控，全年δ发生重大责任事故。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三是紧扣“心理健康”工作重点。开展第十一届大学生心理健康系列活动节，认真做好新生心理普测有效问卷</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6434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份，开通线上心理援助公益热线。实施线上教学</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课时，¼制</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个主题课程；线上线下接待学生</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167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人次，排除严重心理问题</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例；处理突发心理疾病与Σ机干预事件</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同学们，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年即将结束，我们即将迎来充满期待的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回顾过去，我们豪情满怀，展望δ来，我们信心百倍。站在学校新的历史发展阶段，让我们携手并进，以学校本科职业教育试点为契机，以转型建本为工作抓手，抢抓机遇，攻坚克难，用自己的努力与勤奋去谱写新的人生篇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楷体_GBK">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355E1"/>
    <w:rsid w:val="3263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2024-07-18T15:47:00Z</dcterms:created>
  <dc:creator>wangwenyuan</dc:creator>
  <cp:lastModifiedBy>wangwenyuan</cp:lastModifiedBy>
  <dcterms:modified xsi:type="dcterms:W3CDTF">2024-07-18T15:48:02Z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