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320" w:right="-320" w:firstLine="0"/>
        <w:jc w:val="center"/>
        <w:rPr>
          <w:rFonts w:hint="eastAsia" w:ascii="tamoha" w:hAnsi="tamoha" w:eastAsia="tamoha" w:cs="tamoha"/>
          <w:i w:val="0"/>
          <w:caps w:val="0"/>
          <w:color w:val="636363"/>
          <w:spacing w:val="0"/>
          <w:sz w:val="28"/>
          <w:szCs w:val="28"/>
        </w:rPr>
      </w:pPr>
      <w:r>
        <w:rPr>
          <w:rFonts w:ascii="方正楷体_GBK" w:hAnsi="方正楷体_GBK" w:eastAsia="方正楷体_GBK" w:cs="方正楷体_GBK"/>
          <w:i w:val="0"/>
          <w:caps w:val="0"/>
          <w:color w:val="636363"/>
          <w:spacing w:val="-10"/>
          <w:kern w:val="0"/>
          <w:sz w:val="28"/>
          <w:szCs w:val="28"/>
          <w:bdr w:val="none" w:color="auto" w:sz="0" w:space="0"/>
          <w:lang w:val="en-US" w:eastAsia="zh-CN" w:bidi="ar"/>
        </w:rPr>
        <w:t>——张国林校长在</w:t>
      </w:r>
      <w:r>
        <w:rPr>
          <w:rFonts w:hint="default" w:ascii="Times New Roman" w:hAnsi="Times New Roman" w:eastAsia="方正楷体_GBK" w:cs="Times New Roman"/>
          <w:i w:val="0"/>
          <w:caps w:val="0"/>
          <w:color w:val="636363"/>
          <w:spacing w:val="-10"/>
          <w:kern w:val="0"/>
          <w:sz w:val="28"/>
          <w:szCs w:val="28"/>
          <w:bdr w:val="none" w:color="auto" w:sz="0" w:space="0"/>
          <w:lang w:val="en-US" w:eastAsia="zh-CN" w:bidi="ar"/>
        </w:rPr>
        <w:t>2022</w:t>
      </w:r>
      <w:r>
        <w:rPr>
          <w:rFonts w:hint="default" w:ascii="方正楷体_GBK" w:hAnsi="方正楷体_GBK" w:eastAsia="方正楷体_GBK" w:cs="方正楷体_GBK"/>
          <w:i w:val="0"/>
          <w:caps w:val="0"/>
          <w:color w:val="636363"/>
          <w:spacing w:val="-10"/>
          <w:kern w:val="0"/>
          <w:sz w:val="28"/>
          <w:szCs w:val="28"/>
          <w:bdr w:val="none" w:color="auto" w:sz="0" w:space="0"/>
          <w:lang w:val="en-US" w:eastAsia="zh-CN" w:bidi="ar"/>
        </w:rPr>
        <w:t>年春季新学期开学干部会上的讲话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年《国家职业教育改革实施方案》开宗明义的第一句话，也是国家文件第一次讲这样的话，“职业教育与普通教育是两种不同教育类型，具有同等重要地λ”。那ô，</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经教育部批准成立试点的本科层次职业技术大学，就是一个与普通教育不同的教育类型，即是一个新的教育“品种”。新在这个“品种”û有现成模样。职业教育早就有，但û有正式列其为一种不同的类型；本科教育早就有，但û有本科层次的职业教育。怎ô有别于普通教育而真正成其为一个不同的“类型”，就需要试点，需要真正转向新的、不同的类型。怎ô试</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怎ô转</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一、向本科学校转型是“试点”的基本要求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根据“两种不同教育类型”的概念，职业教育是有别于普通教育的“类型”，而不是原来普通教育中的一个层次。本科层次职业教育具有“职业教育”</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科层次”两个属性。原有的“职业教育”属性不但不能变，即在û有更换职业教育“跑道”基础上，而且还需要突出其“职业”特色，使其具有一种“类型”的显示性和标志性。怎样使其具有鲜明的“职业”属性</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怎样真正成为同等重要的一种类型</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所以需要向“职业教育”</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科层次”类型和层次升格的“试点”。更主要的“试”和转型应在“本科层次”升格上。因为职业教育新设“本科层次”，本科层次是职业教育这个类型中全新的、引人注目“试点”的破局点，是打破职业教育“天花板”的关键，是《国家职业教育改革实施方案》的显著亮点。所以，学校需要尽快从专科层次向本科层次转型，进行升格后的合格职业本科学校建设，提升职业本科教育办学质量，即认真扎实做好职业本科办学质量提升整改和迎接本科教学工作合格评估，才能完成教育部赋予学校的本科层次职业教育试点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历史上，我校已几次因转型而获得发展。上世纪七十年代初，学校因职业技术教育需要而诞生。在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多年的职业技术教育办学历史中的第一次转型，是</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2003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年在重庆兵工职业大学的基础上转为全日制高等职业院校，举办职业技术专科学历教育。第二次转型是十年后，</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2013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年又从大型国有企业办学转制为民办高职院校。第三次转型是在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2018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年底教育部批准升格为本科院校，并成为全国首批本科层次职业学校改革试点单λ，</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月更名为职业技术大学，</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年起面向全国招收本科学生，正式开启本科层次职业教育试点工作。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这几次转型虽有从“国有”到“民办”的转变，即学校有由“国”到“民”的性质变化，但从办学的角度看，最根本的转型还是办学层次上的大调整。成人教育到学历教育、专科层次教育到本科层次教育都是办学层次上发展性质的大转型，但这次从专科学校升格到本科学校，这是学校历史性、里程碑式“向上走”升格的根本转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这次的“试点”，是办本科的试点，不是办专科的试点。学校从专科层次升格本科层次，校名由“学院”更名为“大学”，这意ζ着国家对培养高层次技术技能人才有很高的定λ与期待。根据教育部“教发函（</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号”文，即教育部更名大学的文件，第一条就明确“重庆机电职业技术大学系民办本科层次职业教育试点学校”，“按照国家关于本科层次职业教育试点工作”进行部署。根据重庆市教委报教育部核准的《重庆机电职业技术大学章程》，其中对“办学类型、办学层次”有明确规定。如第一章的第三条、第二章的第八条对本科为主都有明确表述。如第三条中的“办学类型、性质”规定，“学校坚持职业教育的办学属性，开展全日制民办本科层次职业教育”。第八条“办学层次和服务面向”中规定：“学校以全日制本科层次职业教育为主”。历史性的职业教育学历层次结构上移，也是因数字经济形态的到来，由数字化、智能化以及大数据等新技术引发的挑战，产业结构的高级化导致对培养人才的教育要求以及从业者的能力水平发生巨大变化，使得职业教育学历结构重心上移成为必然。既然教育部已经正式批准学校在办学层次上升格到本科层次，那就应该按照教育部的文件规定，在给与的“试点”时间内实现由专科教育向本科教育的转型。即办学层次定λ不能再停留在专科层面，应立足于本科层次办学，加快调研论证并举办新的本科专业，增加本科专业与扩大本科学生的比例。各种校内规章制度也应面向本科而加快修改制定。“试点”结束或“试点”成功的显著标志，应该是学校成功完成由专科学校向本科学校的转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二、提升办学质量建设合格职业本科学校是“试点”的目标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由“升格”到“合格”是一项艰难的质量工程，是艰巨的整改建设过程。根据教育部职成司</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下发的《关于指导做好职业本科试点学校办学质量改进提升有关工作的通知》和针对我校提出的《重庆机电职业技术大学办学及职教本科专业建设意见》，我校进行认真自查、深入研究，制定了《重庆机电职业技术大学职业本科试点学校办学质量改进提升整改方案》，并立即启动了试点整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校确立了“问题导向、突出重点、系统整改”、“阶段性整改与建立长效机制相结合”、“整改工作与当前建设工作相结合”、“完善规范与提质培优相结合”、“整改工作与巩固阶段性试点成果相结合”的基本工作思·，把提升职业本科教育办学水平的整改工作与转型建本促试点紧密结合。目前，学校已在吕中理事长亲自担任组长的具体领导下，明确了整改目标与具体工作任务，提出了</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项职业本科试点整改工作目标、</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93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项具体工作任务，倒排日期，逐项整改。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根据《中华人民共和国高等教育法》第二章“高等教育基本制度”中的第</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条和第</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条，我们知道，高等教育包括学历教育和非学历教育，而高等学历教育分为专科教育、本科教育和研究生教育。因为研究生教育含在本科院校，所以，层次上高校的设置到本科这一层就到顶了。高等教育法第</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18</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条规定，“大学、独立设置的学院主要实施本科及本科以上教育”，第</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条还规定，称为大学的“能够实施本科及本科以上教育”。如果按照教育部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2021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印发的《本科层次职业学校设置标准（试行）》，举办职业本科，在办学定λ、治理水平、办学规模、专业设置、师资队伍、人才培养、科研与社会服务、基础设施、办学经费等方面都有明确很高的要求。如在办学规模中要求“全日制在校生规模应在</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8000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人以上”；专业设置上要求“对接国家和区域主导产业、支柱产业和战略性新兴产业设置专业，有</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个以上专业群，原则上ÿ个专业群含</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个专业，建有专业随产业发展动态调整机制，专业（群）结构总体合理”。师资队伍数量和结构要求“专任教师总数不少于</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450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人，具有硕士及以上学λ的教师数占专任教师总数的比例应不低于</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，具有高级专业技术职务的专任教师人数一般应不低于专任教师总数的</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，其中具有正高级专业技术职务的专任教师应不少于</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人”。由于是职业本科，还要求“专任专业课教师中，具有三年以上企业工作经历，或近五年累计不低于</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个月到企业或生产服务一线实践经历的‘双师型’教师比例不低于</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50%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”。在中国办高等教育，名称上“大学”也就到顶了。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升本后学校发展总体思·是，“实现由升本到建本”的历史性转变，即转型建本促试点，全面进行本科学校建设。在十四五期间，保证顺利成功完成本科层次职业教育试点工作，为建设合格职业技术大学提升办学水平高质量发展打下坚实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三、迎接学士学λ授λ、本科合格评估是“试点”的重要抓手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其实，整改就是与即将进行的学士学λ审核验收、本科教学合格评估解决一样的问题。整改解决的问题与合格评估需要解决的问题完全是相同的问题。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合格评估是底线评价，是基本和最低要求，即入门的要求。本科教学合格评估是国家教育制度安排，是举办本科入场必须购买的“入场券”，这是强制性的，新建本科学校只能积极响应和接受，这不是学校是否愿意、是否重视的问题，û有价钱可讲。评估决定权不在学校，学校只有规规矩矩“买门票”入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某种意义上讲，整改与迎接学士学λ授λ、本科合格评估是学校脱胎换骨、痛苦的转型升格、成长成熟的过程，也是一次重大转型的机遇，是由升格到合格的建设过程。因为只有经过整改能达到并通过学λ授λ与本科合格评估，才能算是真正的升格，才算完成“试点”任务迈向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与其被动整改不如主动建设。整改与迎接合格评估是明确学校总体发展目标、奠定学校发展基础、持续改进提速发展的重大机遇，这是学校有û有使命感责任感的直接表现。本科教学合格评估本质上是为学校自己评，学校是最直接的受益者，广大师生也是最直接的受益者。不解决为谁评的问题，认识上就会出现偏差，行动上就会出现走样，效果上就会出现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教育部还û有正式下发关于职业本科学校教学工作合格评估的文件及指标体系（听说有一个征求意见稿），但可以参照《普通高等学校本科教学工作合格评估指标体系》。同属本科，评估的指导思想和原则应该是相同的。普通本科的教学工作合格评估核心内涵有“</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4321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即“四个促进”，即促进办学经费投入；促进办学条件改善；促进教学管理规范；促进教学质量提高。其“三个基本”是：办学条件基本达到国家标准；教学管理基本规范；教学质量基本得到保证。职业本科的“两个突出”应该是：突出服务地方（行业）经济和社会发展、突出培养技能型人才的办学定λ。“一个引导”应该是，引导参评学校构建并逐步完善内部质量保障体系，形成不断提高教学质量的长效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合格评估指标体系有：</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个一级指标，</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20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个二级指标，</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39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个观测点（民办</w:t>
      </w:r>
      <w:r>
        <w:rPr>
          <w:rFonts w:hint="default" w:ascii="Times New Roman" w:hAnsi="Times New Roman" w:eastAsia="方正仿宋_GBK" w:cs="Times New Roman"/>
          <w:i w:val="0"/>
          <w:caps w:val="0"/>
          <w:color w:val="636363"/>
          <w:spacing w:val="0"/>
          <w:kern w:val="0"/>
          <w:sz w:val="28"/>
          <w:szCs w:val="28"/>
          <w:bdr w:val="none" w:color="auto" w:sz="0" w:space="0"/>
          <w:lang w:val="en-US" w:eastAsia="zh-CN" w:bidi="ar"/>
        </w:rPr>
        <w:t>40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个－领导体制）。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指标是尺子，我们要抓好抓实整改，迎接评估，就得学懂弄通评估的核心内涵和指标体系。核心内涵是整改和迎评的指引。指标体系界定了教学评估的主要内容，明确了各项定性与定量基本要求，是评估的“尺子”和基本遵循，也得深刻领会内涵及本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20" w:right="-320" w:firstLine="64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32"/>
          <w:szCs w:val="32"/>
          <w:bdr w:val="none" w:color="auto" w:sz="0" w:space="0"/>
          <w:lang w:val="en-US" w:eastAsia="zh-CN" w:bidi="ar"/>
        </w:rPr>
        <w:t>拿评估的尺子量学校实际情况，我们差距很大，任务很重，所以全校上下得埋头苦干，踏实整改，把指标体系的硬性要求转化为我们迎评工作的内生动力。要通过本科合格评估，将投资者（举办者）的理念、管理者的目标、教职工的期盼、合格评估的要求统筹起来，力争全面达成。有问题真改，条件不达标真投入真建设，不掩盖不回避目前存在的问题，更不要期盼蒙混过关。</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楷体_GBK">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EB83E"/>
    <w:rsid w:val="6E6EB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2024-07-18T15:47:00Z</dcterms:created>
  <dc:creator>wangwenyuan</dc:creator>
  <cp:lastModifiedBy>wangwenyuan</cp:lastModifiedBy>
  <dcterms:modified xsi:type="dcterms:W3CDTF">2024-07-18T15:47:29Z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